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57D2" w14:textId="77777777" w:rsidR="00D26F81" w:rsidRDefault="00D26F81" w:rsidP="001B3311">
      <w:pPr>
        <w:jc w:val="right"/>
        <w:rPr>
          <w:b/>
          <w:bCs/>
          <w:sz w:val="22"/>
          <w:szCs w:val="22"/>
        </w:rPr>
      </w:pPr>
    </w:p>
    <w:p w14:paraId="440BDF01" w14:textId="77777777" w:rsidR="002F471E" w:rsidRPr="007E0D1B" w:rsidRDefault="002F471E" w:rsidP="002F471E">
      <w:pPr>
        <w:spacing w:line="276" w:lineRule="auto"/>
        <w:jc w:val="both"/>
        <w:textAlignment w:val="baseline"/>
        <w:rPr>
          <w:rFonts w:eastAsia="Arial Unicode MS"/>
          <w:sz w:val="22"/>
          <w:szCs w:val="22"/>
        </w:rPr>
      </w:pPr>
      <w:r w:rsidRPr="007E0D1B">
        <w:rPr>
          <w:rFonts w:eastAsia="Arial Unicode MS"/>
          <w:sz w:val="22"/>
          <w:szCs w:val="22"/>
        </w:rPr>
        <w:t xml:space="preserve">            </w:t>
      </w:r>
      <w:r w:rsidRPr="007E0D1B">
        <w:rPr>
          <w:rFonts w:eastAsia="Arial Unicode MS"/>
          <w:noProof/>
          <w:sz w:val="22"/>
          <w:szCs w:val="22"/>
        </w:rPr>
        <w:drawing>
          <wp:inline distT="0" distB="0" distL="0" distR="0" wp14:anchorId="7B202BAB" wp14:editId="1C38343D">
            <wp:extent cx="390525" cy="47832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4" cy="48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 Unicode MS"/>
          <w:sz w:val="22"/>
          <w:szCs w:val="22"/>
        </w:rPr>
        <w:t xml:space="preserve">             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</w:p>
    <w:p w14:paraId="1676FFE9" w14:textId="77777777" w:rsidR="002F471E" w:rsidRPr="007E0D1B" w:rsidRDefault="002F471E" w:rsidP="002F471E">
      <w:pPr>
        <w:jc w:val="both"/>
        <w:rPr>
          <w:rFonts w:cstheme="minorHAnsi"/>
          <w:b/>
          <w:noProof/>
          <w:sz w:val="22"/>
          <w:szCs w:val="22"/>
        </w:rPr>
      </w:pPr>
      <w:r w:rsidRPr="007E0D1B">
        <w:rPr>
          <w:rFonts w:cstheme="minorHAnsi"/>
          <w:b/>
          <w:noProof/>
          <w:sz w:val="22"/>
          <w:szCs w:val="22"/>
        </w:rPr>
        <w:t xml:space="preserve">REPUBLIKA HRVATSKA                                            </w:t>
      </w:r>
      <w:r>
        <w:rPr>
          <w:rFonts w:cstheme="minorHAnsi"/>
          <w:b/>
          <w:noProof/>
          <w:sz w:val="22"/>
          <w:szCs w:val="22"/>
        </w:rPr>
        <w:t xml:space="preserve"> </w:t>
      </w:r>
      <w:r w:rsidRPr="007E0D1B">
        <w:rPr>
          <w:rFonts w:cstheme="minorHAnsi"/>
          <w:b/>
          <w:noProof/>
          <w:sz w:val="22"/>
          <w:szCs w:val="22"/>
        </w:rPr>
        <w:t xml:space="preserve">                        </w:t>
      </w:r>
      <w:r w:rsidRPr="007E0D1B">
        <w:rPr>
          <w:rFonts w:cstheme="minorHAnsi"/>
          <w:b/>
          <w:noProof/>
          <w:sz w:val="22"/>
          <w:szCs w:val="22"/>
        </w:rPr>
        <w:tab/>
      </w:r>
      <w:r w:rsidRPr="007E0D1B">
        <w:rPr>
          <w:rFonts w:cstheme="minorHAnsi"/>
          <w:b/>
          <w:noProof/>
          <w:sz w:val="22"/>
          <w:szCs w:val="22"/>
        </w:rPr>
        <w:tab/>
        <w:t xml:space="preserve">                </w:t>
      </w:r>
    </w:p>
    <w:p w14:paraId="6E443940" w14:textId="77777777" w:rsidR="002F471E" w:rsidRPr="007E0D1B" w:rsidRDefault="002F471E" w:rsidP="002F471E">
      <w:pPr>
        <w:jc w:val="both"/>
        <w:rPr>
          <w:rFonts w:eastAsia="Calibri" w:cstheme="minorHAnsi"/>
          <w:b/>
          <w:sz w:val="22"/>
          <w:szCs w:val="22"/>
        </w:rPr>
      </w:pPr>
      <w:r w:rsidRPr="007E0D1B">
        <w:rPr>
          <w:rFonts w:eastAsia="Calibri" w:cstheme="minorHAnsi"/>
          <w:b/>
          <w:sz w:val="22"/>
          <w:szCs w:val="22"/>
        </w:rPr>
        <w:t>VARAŽDINSKA ŽUPANIJA</w:t>
      </w:r>
    </w:p>
    <w:p w14:paraId="4A554183" w14:textId="77777777" w:rsidR="002F471E" w:rsidRPr="007E0D1B" w:rsidRDefault="002F471E" w:rsidP="002F471E">
      <w:pPr>
        <w:jc w:val="both"/>
        <w:rPr>
          <w:rFonts w:eastAsia="Calibri" w:cstheme="minorHAnsi"/>
          <w:b/>
          <w:sz w:val="22"/>
          <w:szCs w:val="22"/>
        </w:rPr>
      </w:pPr>
      <w:r w:rsidRPr="007E0D1B">
        <w:rPr>
          <w:rFonts w:eastAsia="Calibri" w:cstheme="minorHAnsi"/>
          <w:b/>
          <w:sz w:val="22"/>
          <w:szCs w:val="22"/>
        </w:rPr>
        <w:t>OPĆINA TRNOVEC BARTOLOVEČKI</w:t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</w:p>
    <w:p w14:paraId="43BF22C5" w14:textId="2740401A" w:rsidR="002F471E" w:rsidRDefault="002F471E" w:rsidP="002F471E">
      <w:pPr>
        <w:jc w:val="both"/>
        <w:rPr>
          <w:rFonts w:eastAsia="Calibri" w:cstheme="minorHAnsi"/>
          <w:b/>
          <w:sz w:val="22"/>
          <w:szCs w:val="22"/>
        </w:rPr>
      </w:pPr>
      <w:r>
        <w:rPr>
          <w:rFonts w:eastAsia="Calibri" w:cstheme="minorHAnsi"/>
          <w:b/>
          <w:sz w:val="22"/>
          <w:szCs w:val="22"/>
        </w:rPr>
        <w:t>OPĆINSKO VIJEĆE</w:t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</w:p>
    <w:p w14:paraId="16A5B3CA" w14:textId="77777777" w:rsidR="002F471E" w:rsidRPr="007E0D1B" w:rsidRDefault="002F471E" w:rsidP="002F471E">
      <w:pPr>
        <w:jc w:val="both"/>
        <w:rPr>
          <w:rFonts w:eastAsia="Calibri" w:cstheme="minorHAnsi"/>
          <w:b/>
          <w:sz w:val="22"/>
          <w:szCs w:val="22"/>
        </w:rPr>
      </w:pPr>
    </w:p>
    <w:p w14:paraId="6DEF0626" w14:textId="274C2652" w:rsidR="002F471E" w:rsidRPr="007E0D1B" w:rsidRDefault="002F471E" w:rsidP="002F471E">
      <w:pPr>
        <w:tabs>
          <w:tab w:val="left" w:pos="7800"/>
        </w:tabs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 xml:space="preserve">KLASA:  </w:t>
      </w:r>
      <w:r>
        <w:rPr>
          <w:rFonts w:eastAsia="Calibri" w:cstheme="minorHAnsi"/>
          <w:sz w:val="22"/>
          <w:szCs w:val="22"/>
        </w:rPr>
        <w:t>402</w:t>
      </w:r>
      <w:r w:rsidRPr="007E0D1B">
        <w:rPr>
          <w:rFonts w:eastAsia="Calibri" w:cstheme="minorHAnsi"/>
          <w:sz w:val="22"/>
          <w:szCs w:val="22"/>
        </w:rPr>
        <w:t>-01/2</w:t>
      </w:r>
      <w:r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-01/</w:t>
      </w:r>
      <w:r>
        <w:rPr>
          <w:rFonts w:eastAsia="Calibri" w:cstheme="minorHAnsi"/>
          <w:sz w:val="22"/>
          <w:szCs w:val="22"/>
        </w:rPr>
        <w:t>09</w:t>
      </w:r>
      <w:r w:rsidRPr="007E0D1B">
        <w:rPr>
          <w:rFonts w:eastAsia="Calibri" w:cstheme="minorHAnsi"/>
          <w:sz w:val="22"/>
          <w:szCs w:val="22"/>
        </w:rPr>
        <w:t xml:space="preserve">                                                             </w:t>
      </w:r>
      <w:r w:rsidRPr="007E0D1B">
        <w:rPr>
          <w:rFonts w:eastAsia="Calibri" w:cstheme="minorHAnsi"/>
          <w:sz w:val="22"/>
          <w:szCs w:val="22"/>
        </w:rPr>
        <w:tab/>
      </w:r>
    </w:p>
    <w:p w14:paraId="05CBE1BC" w14:textId="6D1848AE" w:rsidR="002F471E" w:rsidRPr="007E0D1B" w:rsidRDefault="002F471E" w:rsidP="002F471E">
      <w:pPr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>URBROJ: 2186-29-01-2</w:t>
      </w:r>
      <w:r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-</w:t>
      </w:r>
      <w:r w:rsidR="007069F5">
        <w:rPr>
          <w:rFonts w:eastAsia="Calibri" w:cstheme="minorHAnsi"/>
          <w:sz w:val="22"/>
          <w:szCs w:val="22"/>
        </w:rPr>
        <w:t>2</w:t>
      </w:r>
    </w:p>
    <w:p w14:paraId="799F9B92" w14:textId="28DDAFF7" w:rsidR="002F471E" w:rsidRPr="007E0D1B" w:rsidRDefault="002F471E" w:rsidP="002F471E">
      <w:pPr>
        <w:spacing w:after="240"/>
        <w:jc w:val="both"/>
        <w:rPr>
          <w:rFonts w:eastAsia="Calibri" w:cstheme="minorHAnsi"/>
          <w:sz w:val="22"/>
          <w:szCs w:val="22"/>
        </w:rPr>
      </w:pPr>
      <w:r w:rsidRPr="007E0D1B">
        <w:rPr>
          <w:rFonts w:eastAsia="Calibri" w:cstheme="minorHAnsi"/>
          <w:sz w:val="22"/>
          <w:szCs w:val="22"/>
        </w:rPr>
        <w:t xml:space="preserve">Trnovec, </w:t>
      </w:r>
      <w:r w:rsidR="007069F5">
        <w:rPr>
          <w:rFonts w:eastAsia="Calibri" w:cstheme="minorHAnsi"/>
          <w:sz w:val="22"/>
          <w:szCs w:val="22"/>
        </w:rPr>
        <w:t xml:space="preserve">11. ožujak </w:t>
      </w:r>
      <w:r w:rsidRPr="007E0D1B">
        <w:rPr>
          <w:rFonts w:eastAsia="Calibri" w:cstheme="minorHAnsi"/>
          <w:sz w:val="22"/>
          <w:szCs w:val="22"/>
        </w:rPr>
        <w:t>202</w:t>
      </w:r>
      <w:r>
        <w:rPr>
          <w:rFonts w:eastAsia="Calibri" w:cstheme="minorHAnsi"/>
          <w:sz w:val="22"/>
          <w:szCs w:val="22"/>
        </w:rPr>
        <w:t>6</w:t>
      </w:r>
      <w:r w:rsidRPr="007E0D1B">
        <w:rPr>
          <w:rFonts w:eastAsia="Calibri" w:cstheme="minorHAnsi"/>
          <w:sz w:val="22"/>
          <w:szCs w:val="22"/>
        </w:rPr>
        <w:t>.</w:t>
      </w:r>
    </w:p>
    <w:p w14:paraId="73055162" w14:textId="77777777" w:rsidR="002F471E" w:rsidRPr="00CF6070" w:rsidRDefault="002F471E" w:rsidP="002F471E">
      <w:pPr>
        <w:jc w:val="both"/>
        <w:rPr>
          <w:b/>
          <w:bCs/>
          <w:sz w:val="22"/>
          <w:szCs w:val="22"/>
        </w:rPr>
      </w:pPr>
    </w:p>
    <w:p w14:paraId="66F7383A" w14:textId="5AB5169D" w:rsidR="00361191" w:rsidRPr="00CF6070" w:rsidRDefault="00361191" w:rsidP="00361191">
      <w:pPr>
        <w:ind w:firstLine="720"/>
        <w:jc w:val="both"/>
        <w:rPr>
          <w:sz w:val="22"/>
          <w:szCs w:val="22"/>
        </w:rPr>
      </w:pPr>
      <w:r w:rsidRPr="00CF6070">
        <w:rPr>
          <w:sz w:val="22"/>
          <w:szCs w:val="22"/>
        </w:rPr>
        <w:t>Na temelju članka 10. stavka 3. Zakona o financiranju političkih aktivnosti i izborne promidžbe i referenduma («Narodne novine» broj  29/19.i 98/19.) i članka 31. Statuta Općine Trnovec Bartolovečki (“Službeni vjesnik Varaždinske županije”</w:t>
      </w:r>
      <w:r w:rsidR="007A41C0">
        <w:rPr>
          <w:sz w:val="22"/>
          <w:szCs w:val="22"/>
        </w:rPr>
        <w:t xml:space="preserve"> </w:t>
      </w:r>
      <w:r w:rsidRPr="00CF6070">
        <w:rPr>
          <w:sz w:val="22"/>
          <w:szCs w:val="22"/>
        </w:rPr>
        <w:t>broj 15/21.</w:t>
      </w:r>
      <w:r w:rsidR="002F471E">
        <w:rPr>
          <w:sz w:val="22"/>
          <w:szCs w:val="22"/>
        </w:rPr>
        <w:t xml:space="preserve"> i 88/25.</w:t>
      </w:r>
      <w:r w:rsidRPr="00CF6070">
        <w:rPr>
          <w:sz w:val="22"/>
          <w:szCs w:val="22"/>
        </w:rPr>
        <w:t xml:space="preserve">) Općinsko vijeće Općine Trnovec Bartolovečki na </w:t>
      </w:r>
      <w:r w:rsidR="007069F5">
        <w:rPr>
          <w:sz w:val="22"/>
          <w:szCs w:val="22"/>
        </w:rPr>
        <w:t>7</w:t>
      </w:r>
      <w:r w:rsidR="007A41C0">
        <w:rPr>
          <w:sz w:val="22"/>
          <w:szCs w:val="22"/>
        </w:rPr>
        <w:t>.</w:t>
      </w:r>
      <w:r w:rsidRPr="00CF6070">
        <w:rPr>
          <w:sz w:val="22"/>
          <w:szCs w:val="22"/>
        </w:rPr>
        <w:t xml:space="preserve"> sjednici održanoj dana </w:t>
      </w:r>
      <w:r w:rsidR="007069F5">
        <w:rPr>
          <w:sz w:val="22"/>
          <w:szCs w:val="22"/>
        </w:rPr>
        <w:t>11. ožujka</w:t>
      </w:r>
      <w:r w:rsidRPr="00CF6070">
        <w:rPr>
          <w:sz w:val="22"/>
          <w:szCs w:val="22"/>
        </w:rPr>
        <w:t xml:space="preserve"> 202</w:t>
      </w:r>
      <w:r w:rsidR="002F471E">
        <w:rPr>
          <w:sz w:val="22"/>
          <w:szCs w:val="22"/>
        </w:rPr>
        <w:t>6</w:t>
      </w:r>
      <w:r w:rsidRPr="00CF6070">
        <w:rPr>
          <w:sz w:val="22"/>
          <w:szCs w:val="22"/>
        </w:rPr>
        <w:t>. godine, donosi</w:t>
      </w:r>
    </w:p>
    <w:p w14:paraId="4A47E6ED" w14:textId="77777777" w:rsidR="00361191" w:rsidRPr="00CF6070" w:rsidRDefault="00361191" w:rsidP="00361191">
      <w:pPr>
        <w:ind w:firstLine="720"/>
        <w:jc w:val="both"/>
        <w:rPr>
          <w:sz w:val="22"/>
          <w:szCs w:val="22"/>
        </w:rPr>
      </w:pPr>
    </w:p>
    <w:p w14:paraId="4372F3CE" w14:textId="77777777" w:rsidR="00361191" w:rsidRPr="00CF6070" w:rsidRDefault="00361191" w:rsidP="00361191">
      <w:pPr>
        <w:pStyle w:val="Tijeloteksta"/>
        <w:spacing w:line="240" w:lineRule="auto"/>
        <w:jc w:val="center"/>
        <w:rPr>
          <w:rFonts w:ascii="Times New Roman" w:hAnsi="Times New Roman" w:cs="Times New Roman"/>
          <w:b/>
        </w:rPr>
      </w:pPr>
      <w:r w:rsidRPr="00CF6070">
        <w:rPr>
          <w:rFonts w:ascii="Times New Roman" w:hAnsi="Times New Roman" w:cs="Times New Roman"/>
          <w:b/>
          <w:bCs w:val="0"/>
        </w:rPr>
        <w:t>ODLUKU</w:t>
      </w:r>
    </w:p>
    <w:p w14:paraId="2BFFFA48" w14:textId="77777777" w:rsidR="00361191" w:rsidRPr="00CF6070" w:rsidRDefault="00361191" w:rsidP="00361191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bCs w:val="0"/>
        </w:rPr>
      </w:pPr>
      <w:r w:rsidRPr="00CF6070">
        <w:rPr>
          <w:rFonts w:ascii="Times New Roman" w:hAnsi="Times New Roman" w:cs="Times New Roman"/>
          <w:b/>
          <w:bCs w:val="0"/>
        </w:rPr>
        <w:t>o raspoređivanju sredstava za redovito godišnje financiranje</w:t>
      </w:r>
    </w:p>
    <w:p w14:paraId="16316AD5" w14:textId="77777777" w:rsidR="00361191" w:rsidRPr="00CF6070" w:rsidRDefault="00361191" w:rsidP="00361191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bCs w:val="0"/>
        </w:rPr>
      </w:pPr>
      <w:r w:rsidRPr="00CF6070">
        <w:rPr>
          <w:rFonts w:ascii="Times New Roman" w:hAnsi="Times New Roman" w:cs="Times New Roman"/>
          <w:b/>
          <w:bCs w:val="0"/>
        </w:rPr>
        <w:t>političkih stranaka koje imaju člana u</w:t>
      </w:r>
    </w:p>
    <w:p w14:paraId="00DC3C95" w14:textId="32CB6419" w:rsidR="00361191" w:rsidRPr="00CF6070" w:rsidRDefault="00361191" w:rsidP="00361191">
      <w:pPr>
        <w:pStyle w:val="Tijeloteksta"/>
        <w:spacing w:line="240" w:lineRule="auto"/>
        <w:jc w:val="center"/>
        <w:rPr>
          <w:rFonts w:ascii="Times New Roman" w:hAnsi="Times New Roman" w:cs="Times New Roman"/>
          <w:b/>
          <w:bCs w:val="0"/>
        </w:rPr>
      </w:pPr>
      <w:r w:rsidRPr="00CF6070">
        <w:rPr>
          <w:rFonts w:ascii="Times New Roman" w:hAnsi="Times New Roman" w:cs="Times New Roman"/>
          <w:b/>
          <w:bCs w:val="0"/>
        </w:rPr>
        <w:t>Općinskom vijeću Općine Trnovec Bartolovečki u 202</w:t>
      </w:r>
      <w:r w:rsidR="002F471E">
        <w:rPr>
          <w:rFonts w:ascii="Times New Roman" w:hAnsi="Times New Roman" w:cs="Times New Roman"/>
          <w:b/>
          <w:bCs w:val="0"/>
        </w:rPr>
        <w:t>6</w:t>
      </w:r>
      <w:r w:rsidRPr="00CF6070">
        <w:rPr>
          <w:rFonts w:ascii="Times New Roman" w:hAnsi="Times New Roman" w:cs="Times New Roman"/>
          <w:b/>
          <w:bCs w:val="0"/>
        </w:rPr>
        <w:t>. godin</w:t>
      </w:r>
      <w:r w:rsidR="002309A2" w:rsidRPr="00CF6070">
        <w:rPr>
          <w:rFonts w:ascii="Times New Roman" w:hAnsi="Times New Roman" w:cs="Times New Roman"/>
          <w:b/>
          <w:bCs w:val="0"/>
        </w:rPr>
        <w:t>i</w:t>
      </w:r>
    </w:p>
    <w:p w14:paraId="3316135F" w14:textId="77777777" w:rsidR="00361191" w:rsidRDefault="00361191" w:rsidP="0074766E">
      <w:pPr>
        <w:pStyle w:val="Tijeloteksta"/>
        <w:spacing w:line="240" w:lineRule="auto"/>
        <w:rPr>
          <w:rFonts w:ascii="Times New Roman" w:hAnsi="Times New Roman" w:cs="Times New Roman"/>
        </w:rPr>
      </w:pPr>
    </w:p>
    <w:p w14:paraId="76ED2E07" w14:textId="77777777" w:rsidR="002F471E" w:rsidRPr="00CF6070" w:rsidRDefault="002F471E" w:rsidP="002F471E">
      <w:pPr>
        <w:jc w:val="center"/>
        <w:rPr>
          <w:b/>
          <w:bCs/>
          <w:sz w:val="22"/>
          <w:szCs w:val="22"/>
        </w:rPr>
      </w:pPr>
      <w:r w:rsidRPr="00CF6070">
        <w:rPr>
          <w:b/>
          <w:bCs/>
          <w:sz w:val="22"/>
          <w:szCs w:val="22"/>
        </w:rPr>
        <w:t>Članak 1.</w:t>
      </w:r>
    </w:p>
    <w:p w14:paraId="040BCCCA" w14:textId="0373C630" w:rsidR="002F471E" w:rsidRPr="00CF6070" w:rsidRDefault="002F471E" w:rsidP="002F471E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CF6070">
        <w:rPr>
          <w:rFonts w:ascii="Times New Roman" w:hAnsi="Times New Roman" w:cs="Times New Roman"/>
        </w:rPr>
        <w:t>Ovom Odlukom vrši se raspored sredstva iz Proračuna Općine Trnovec Bartolovečki za  202</w:t>
      </w:r>
      <w:r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>. godinu za redovito financiranje u 202</w:t>
      </w:r>
      <w:r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>. godini političkih stranaka</w:t>
      </w:r>
      <w:r>
        <w:rPr>
          <w:rFonts w:ascii="Times New Roman" w:hAnsi="Times New Roman" w:cs="Times New Roman"/>
        </w:rPr>
        <w:t xml:space="preserve"> </w:t>
      </w:r>
      <w:r w:rsidRPr="00CF6070">
        <w:rPr>
          <w:rFonts w:ascii="Times New Roman" w:hAnsi="Times New Roman" w:cs="Times New Roman"/>
        </w:rPr>
        <w:t>koje imaju člana u Općinskom vijeću Općine Trnovec Bartolovečki</w:t>
      </w:r>
      <w:r>
        <w:rPr>
          <w:rFonts w:ascii="Times New Roman" w:hAnsi="Times New Roman" w:cs="Times New Roman"/>
        </w:rPr>
        <w:t xml:space="preserve"> i nezavisnih vijećnika izabranih s liste grupe birača</w:t>
      </w:r>
      <w:r w:rsidRPr="00CF6070">
        <w:rPr>
          <w:rFonts w:ascii="Times New Roman" w:hAnsi="Times New Roman" w:cs="Times New Roman"/>
        </w:rPr>
        <w:t xml:space="preserve">, a nakon  </w:t>
      </w:r>
      <w:r>
        <w:rPr>
          <w:rFonts w:ascii="Times New Roman" w:hAnsi="Times New Roman" w:cs="Times New Roman"/>
        </w:rPr>
        <w:t xml:space="preserve">provedenih </w:t>
      </w:r>
      <w:r w:rsidRPr="00CF6070">
        <w:rPr>
          <w:rFonts w:ascii="Times New Roman" w:hAnsi="Times New Roman" w:cs="Times New Roman"/>
        </w:rPr>
        <w:t xml:space="preserve">lokalnih izbora dana </w:t>
      </w:r>
      <w:r>
        <w:rPr>
          <w:rFonts w:ascii="Times New Roman" w:hAnsi="Times New Roman" w:cs="Times New Roman"/>
        </w:rPr>
        <w:t>18</w:t>
      </w:r>
      <w:r w:rsidRPr="00CF6070">
        <w:rPr>
          <w:rFonts w:ascii="Times New Roman" w:hAnsi="Times New Roman" w:cs="Times New Roman"/>
        </w:rPr>
        <w:t>. svibnja 202</w:t>
      </w:r>
      <w:r>
        <w:rPr>
          <w:rFonts w:ascii="Times New Roman" w:hAnsi="Times New Roman" w:cs="Times New Roman"/>
        </w:rPr>
        <w:t>5</w:t>
      </w:r>
      <w:r w:rsidRPr="00CF6070">
        <w:rPr>
          <w:rFonts w:ascii="Times New Roman" w:hAnsi="Times New Roman" w:cs="Times New Roman"/>
        </w:rPr>
        <w:t>. godine sukladno utvrđenim i objavljenim Konačnim rezultatima izbora za članove Općinskog vijeća Općine Trnovec Bartolovečki.</w:t>
      </w:r>
    </w:p>
    <w:p w14:paraId="53BC19CE" w14:textId="77777777" w:rsidR="002F471E" w:rsidRPr="00CF6070" w:rsidRDefault="002F471E" w:rsidP="002F471E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</w:rPr>
      </w:pPr>
    </w:p>
    <w:p w14:paraId="7236C50E" w14:textId="77777777" w:rsidR="002F471E" w:rsidRPr="00CF6070" w:rsidRDefault="002F471E" w:rsidP="002F471E">
      <w:pPr>
        <w:pStyle w:val="Tijeloteksta"/>
        <w:spacing w:line="240" w:lineRule="auto"/>
        <w:jc w:val="center"/>
        <w:rPr>
          <w:rFonts w:ascii="Times New Roman" w:hAnsi="Times New Roman" w:cs="Times New Roman"/>
          <w:b/>
        </w:rPr>
      </w:pPr>
      <w:r w:rsidRPr="00CF6070">
        <w:rPr>
          <w:rFonts w:ascii="Times New Roman" w:hAnsi="Times New Roman" w:cs="Times New Roman"/>
          <w:b/>
        </w:rPr>
        <w:t>Članak 2.</w:t>
      </w:r>
    </w:p>
    <w:p w14:paraId="3A32A665" w14:textId="77777777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 xml:space="preserve">             Sredstva općinskog proračuna za redovito godišnje financiranje političkih stranaka</w:t>
      </w:r>
      <w:r>
        <w:rPr>
          <w:rFonts w:ascii="Times New Roman" w:hAnsi="Times New Roman" w:cs="Times New Roman"/>
        </w:rPr>
        <w:t xml:space="preserve"> i nezavisnih vijećnika</w:t>
      </w:r>
      <w:r w:rsidRPr="00CF6070">
        <w:rPr>
          <w:rFonts w:ascii="Times New Roman" w:hAnsi="Times New Roman" w:cs="Times New Roman"/>
        </w:rPr>
        <w:t xml:space="preserve"> raspoređuju se na način da se za svakog vijećnika Općinskog vijeća utvrdi jednaki iznos sredstava </w:t>
      </w:r>
      <w:r>
        <w:rPr>
          <w:rFonts w:ascii="Times New Roman" w:hAnsi="Times New Roman" w:cs="Times New Roman"/>
        </w:rPr>
        <w:t>pa</w:t>
      </w:r>
      <w:r w:rsidRPr="00CF6070">
        <w:rPr>
          <w:rFonts w:ascii="Times New Roman" w:hAnsi="Times New Roman" w:cs="Times New Roman"/>
        </w:rPr>
        <w:t xml:space="preserve"> političkoj stranci pripadaju proračunska sredstva razmjerno broju njezinih članova od trenutka konstituiranja Općinskog vijeća Općine Trnovec Bartolovečki provedenog dana 1</w:t>
      </w:r>
      <w:r>
        <w:rPr>
          <w:rFonts w:ascii="Times New Roman" w:hAnsi="Times New Roman" w:cs="Times New Roman"/>
        </w:rPr>
        <w:t>0</w:t>
      </w:r>
      <w:r w:rsidRPr="00CF6070">
        <w:rPr>
          <w:rFonts w:ascii="Times New Roman" w:hAnsi="Times New Roman" w:cs="Times New Roman"/>
        </w:rPr>
        <w:t>. lipnja 202</w:t>
      </w:r>
      <w:r>
        <w:rPr>
          <w:rFonts w:ascii="Times New Roman" w:hAnsi="Times New Roman" w:cs="Times New Roman"/>
        </w:rPr>
        <w:t>5</w:t>
      </w:r>
      <w:r w:rsidRPr="00CF6070">
        <w:rPr>
          <w:rFonts w:ascii="Times New Roman" w:hAnsi="Times New Roman" w:cs="Times New Roman"/>
        </w:rPr>
        <w:t>. godine.</w:t>
      </w:r>
    </w:p>
    <w:p w14:paraId="4426315B" w14:textId="77777777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</w:p>
    <w:p w14:paraId="08404089" w14:textId="77777777" w:rsidR="002F471E" w:rsidRPr="00CF6070" w:rsidRDefault="002F471E" w:rsidP="002F471E">
      <w:pPr>
        <w:pStyle w:val="Tijeloteksta"/>
        <w:spacing w:line="240" w:lineRule="auto"/>
        <w:jc w:val="center"/>
        <w:rPr>
          <w:rFonts w:ascii="Times New Roman" w:hAnsi="Times New Roman" w:cs="Times New Roman"/>
          <w:b/>
        </w:rPr>
      </w:pPr>
      <w:r w:rsidRPr="00CF6070">
        <w:rPr>
          <w:rFonts w:ascii="Times New Roman" w:hAnsi="Times New Roman" w:cs="Times New Roman"/>
          <w:b/>
          <w:bCs w:val="0"/>
        </w:rPr>
        <w:t>Članak 3.</w:t>
      </w:r>
    </w:p>
    <w:p w14:paraId="23F87E65" w14:textId="77777777" w:rsidR="002F471E" w:rsidRPr="00CF6070" w:rsidRDefault="002F471E" w:rsidP="002F471E">
      <w:pPr>
        <w:pStyle w:val="Tijeloteksta"/>
        <w:spacing w:line="240" w:lineRule="auto"/>
        <w:ind w:firstLine="720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>Pravo na redovito godišnje financiranje iz sredstava općinskog proračuna ima politička stranka koja ima člana  u Općinskom vijeću Općine Trnovec Bartolovečki</w:t>
      </w:r>
      <w:r>
        <w:rPr>
          <w:rFonts w:ascii="Times New Roman" w:hAnsi="Times New Roman" w:cs="Times New Roman"/>
        </w:rPr>
        <w:t xml:space="preserve"> i nezavisni vijećnik izabrani s liste grupe birača</w:t>
      </w:r>
      <w:r w:rsidRPr="00CF6070">
        <w:rPr>
          <w:rFonts w:ascii="Times New Roman" w:hAnsi="Times New Roman" w:cs="Times New Roman"/>
        </w:rPr>
        <w:t xml:space="preserve">.  </w:t>
      </w:r>
    </w:p>
    <w:p w14:paraId="0F15AC21" w14:textId="77777777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 xml:space="preserve">             Za svakog izabranog vijećnika podzastupljenog spola politička stranka</w:t>
      </w:r>
      <w:r>
        <w:rPr>
          <w:rFonts w:ascii="Times New Roman" w:hAnsi="Times New Roman" w:cs="Times New Roman"/>
        </w:rPr>
        <w:t xml:space="preserve"> i nezavisni vijećnik</w:t>
      </w:r>
      <w:r w:rsidRPr="00CF6070">
        <w:rPr>
          <w:rFonts w:ascii="Times New Roman" w:hAnsi="Times New Roman" w:cs="Times New Roman"/>
        </w:rPr>
        <w:t xml:space="preserve"> ima pravo na naknadu u visini od 10%  iznosa predviđenog po vijećniku utvrđenom na način propisan odredbom članka 2. ove Odluke.</w:t>
      </w:r>
    </w:p>
    <w:p w14:paraId="4D7933BF" w14:textId="77777777" w:rsidR="002F471E" w:rsidRPr="00CF6070" w:rsidRDefault="002F471E" w:rsidP="002F471E">
      <w:pPr>
        <w:jc w:val="both"/>
        <w:rPr>
          <w:sz w:val="22"/>
          <w:szCs w:val="22"/>
        </w:rPr>
      </w:pPr>
    </w:p>
    <w:p w14:paraId="3DC30459" w14:textId="77777777" w:rsidR="002F471E" w:rsidRPr="00CF6070" w:rsidRDefault="002F471E" w:rsidP="002F471E">
      <w:pPr>
        <w:pStyle w:val="Tijeloteksta"/>
        <w:spacing w:line="240" w:lineRule="auto"/>
        <w:jc w:val="center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  <w:b/>
          <w:bCs w:val="0"/>
        </w:rPr>
        <w:t>Članak 4.</w:t>
      </w:r>
    </w:p>
    <w:p w14:paraId="7D8A9BA0" w14:textId="156B6CAA" w:rsidR="002F471E" w:rsidRPr="006F050C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 xml:space="preserve">              U Proračunu Općine Trnovec Bartolovečki za 202</w:t>
      </w:r>
      <w:r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 xml:space="preserve">. godinu za redovito godišnje financiranje političkih stranaka </w:t>
      </w:r>
      <w:r>
        <w:rPr>
          <w:rFonts w:ascii="Times New Roman" w:hAnsi="Times New Roman" w:cs="Times New Roman"/>
        </w:rPr>
        <w:t>i nezavisnih vijećnika</w:t>
      </w:r>
      <w:r w:rsidRPr="00CF6070">
        <w:rPr>
          <w:rFonts w:ascii="Times New Roman" w:hAnsi="Times New Roman" w:cs="Times New Roman"/>
        </w:rPr>
        <w:t xml:space="preserve"> osigurana su sredstva</w:t>
      </w:r>
      <w:r>
        <w:rPr>
          <w:rFonts w:ascii="Times New Roman" w:hAnsi="Times New Roman" w:cs="Times New Roman"/>
        </w:rPr>
        <w:t xml:space="preserve"> pod aktivnosti: A1002 01 – Financiranje političkih stranaka</w:t>
      </w:r>
      <w:r w:rsidRPr="00CF6070">
        <w:rPr>
          <w:rFonts w:ascii="Times New Roman" w:hAnsi="Times New Roman" w:cs="Times New Roman"/>
        </w:rPr>
        <w:t xml:space="preserve">  </w:t>
      </w:r>
      <w:r w:rsidRPr="006F050C">
        <w:rPr>
          <w:rFonts w:ascii="Times New Roman" w:hAnsi="Times New Roman" w:cs="Times New Roman"/>
        </w:rPr>
        <w:t xml:space="preserve">u iznosu od </w:t>
      </w:r>
      <w:r w:rsidR="001D2295">
        <w:rPr>
          <w:rFonts w:ascii="Times New Roman" w:hAnsi="Times New Roman" w:cs="Times New Roman"/>
          <w:b/>
        </w:rPr>
        <w:t>1.700</w:t>
      </w:r>
      <w:r w:rsidRPr="006F050C">
        <w:rPr>
          <w:rFonts w:ascii="Times New Roman" w:hAnsi="Times New Roman" w:cs="Times New Roman"/>
          <w:b/>
        </w:rPr>
        <w:t>,00</w:t>
      </w:r>
      <w:r w:rsidRPr="006F050C">
        <w:rPr>
          <w:rFonts w:ascii="Times New Roman" w:hAnsi="Times New Roman" w:cs="Times New Roman"/>
        </w:rPr>
        <w:t xml:space="preserve"> EUR</w:t>
      </w:r>
      <w:r w:rsidR="001D2295">
        <w:rPr>
          <w:rFonts w:ascii="Times New Roman" w:hAnsi="Times New Roman" w:cs="Times New Roman"/>
        </w:rPr>
        <w:t>.</w:t>
      </w:r>
      <w:r w:rsidRPr="006F050C">
        <w:rPr>
          <w:rFonts w:ascii="Times New Roman" w:hAnsi="Times New Roman" w:cs="Times New Roman"/>
        </w:rPr>
        <w:t xml:space="preserve"> </w:t>
      </w:r>
    </w:p>
    <w:p w14:paraId="49814C66" w14:textId="5F55C7C0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F6070">
        <w:rPr>
          <w:rFonts w:ascii="Times New Roman" w:hAnsi="Times New Roman" w:cs="Times New Roman"/>
        </w:rPr>
        <w:t>Utvrđuje se da svakoj političkoj stranci po članu u Općinskom vijeću Općine Trnovec Bartolovečki</w:t>
      </w:r>
      <w:r>
        <w:rPr>
          <w:rFonts w:ascii="Times New Roman" w:hAnsi="Times New Roman" w:cs="Times New Roman"/>
        </w:rPr>
        <w:t xml:space="preserve"> i nezavisnom vijećniku</w:t>
      </w:r>
      <w:r w:rsidRPr="00CF6070">
        <w:rPr>
          <w:rFonts w:ascii="Times New Roman" w:hAnsi="Times New Roman" w:cs="Times New Roman"/>
        </w:rPr>
        <w:t xml:space="preserve"> za političke aktivnosti  u  202</w:t>
      </w:r>
      <w:r w:rsidR="00D63684"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 xml:space="preserve">. godini pripada iznos sredstava u visini od </w:t>
      </w:r>
      <w:r w:rsidRPr="00CF60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="00D6368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,50 EUR</w:t>
      </w:r>
      <w:r w:rsidRPr="00CF6070">
        <w:rPr>
          <w:rFonts w:ascii="Times New Roman" w:hAnsi="Times New Roman" w:cs="Times New Roman"/>
        </w:rPr>
        <w:t xml:space="preserve"> po vijećniku.</w:t>
      </w:r>
    </w:p>
    <w:p w14:paraId="005CC7E4" w14:textId="51734E3F" w:rsidR="002F471E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F6070">
        <w:rPr>
          <w:rFonts w:ascii="Times New Roman" w:hAnsi="Times New Roman" w:cs="Times New Roman"/>
        </w:rPr>
        <w:t>Utvrđuje se da političkoj stranci za člana podzastupljenog spola u Općinskom vijeću Općine Trnovec Bartolovečki</w:t>
      </w:r>
      <w:r>
        <w:rPr>
          <w:rFonts w:ascii="Times New Roman" w:hAnsi="Times New Roman" w:cs="Times New Roman"/>
        </w:rPr>
        <w:t xml:space="preserve"> i nezavisnoj vijećnici</w:t>
      </w:r>
      <w:r w:rsidRPr="00CF6070">
        <w:rPr>
          <w:rFonts w:ascii="Times New Roman" w:hAnsi="Times New Roman" w:cs="Times New Roman"/>
        </w:rPr>
        <w:t xml:space="preserve"> za političke aktivnosti  u  202</w:t>
      </w:r>
      <w:r w:rsidR="00D63684"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 xml:space="preserve">. godini pripada naknada u iznosu od </w:t>
      </w:r>
      <w:r>
        <w:rPr>
          <w:rFonts w:ascii="Times New Roman" w:hAnsi="Times New Roman" w:cs="Times New Roman"/>
          <w:b/>
        </w:rPr>
        <w:t>111,65</w:t>
      </w:r>
      <w:r w:rsidRPr="00CF60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EUR</w:t>
      </w:r>
      <w:r w:rsidRPr="00CF6070">
        <w:rPr>
          <w:rFonts w:ascii="Times New Roman" w:hAnsi="Times New Roman" w:cs="Times New Roman"/>
        </w:rPr>
        <w:t xml:space="preserve"> po vijećnici.</w:t>
      </w:r>
    </w:p>
    <w:p w14:paraId="2C1A1C3D" w14:textId="2D61385F" w:rsidR="00C71619" w:rsidRDefault="00C71619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Utvrđuje se da su se nezavisni vijećnici izjavom odrekli prava na redovito godišnje financiranje iz Proračuna Općine Trnovec Bartolovečki</w:t>
      </w:r>
      <w:r w:rsidR="00D63684">
        <w:rPr>
          <w:rFonts w:ascii="Times New Roman" w:hAnsi="Times New Roman" w:cs="Times New Roman"/>
        </w:rPr>
        <w:t xml:space="preserve"> za cijelo razdoblje trajanja mandata</w:t>
      </w:r>
      <w:r>
        <w:rPr>
          <w:rFonts w:ascii="Times New Roman" w:hAnsi="Times New Roman" w:cs="Times New Roman"/>
        </w:rPr>
        <w:t>.</w:t>
      </w:r>
    </w:p>
    <w:p w14:paraId="026D1959" w14:textId="77777777" w:rsidR="002F471E" w:rsidRDefault="002F471E" w:rsidP="002F471E">
      <w:pPr>
        <w:rPr>
          <w:sz w:val="22"/>
          <w:szCs w:val="22"/>
        </w:rPr>
      </w:pPr>
    </w:p>
    <w:p w14:paraId="2E72228F" w14:textId="77777777" w:rsidR="002F471E" w:rsidRDefault="002F471E" w:rsidP="002F471E">
      <w:pPr>
        <w:rPr>
          <w:sz w:val="22"/>
          <w:szCs w:val="22"/>
        </w:rPr>
      </w:pPr>
    </w:p>
    <w:p w14:paraId="6BA484C7" w14:textId="77777777" w:rsidR="002F471E" w:rsidRPr="00CF6070" w:rsidRDefault="002F471E" w:rsidP="002F471E">
      <w:pPr>
        <w:rPr>
          <w:sz w:val="22"/>
          <w:szCs w:val="22"/>
        </w:rPr>
      </w:pPr>
    </w:p>
    <w:p w14:paraId="2186B321" w14:textId="77777777" w:rsidR="002F471E" w:rsidRPr="00CF6070" w:rsidRDefault="002F471E" w:rsidP="002F471E">
      <w:pPr>
        <w:pStyle w:val="Tijeloteksta"/>
        <w:spacing w:line="240" w:lineRule="auto"/>
        <w:jc w:val="center"/>
        <w:rPr>
          <w:rFonts w:ascii="Times New Roman" w:hAnsi="Times New Roman" w:cs="Times New Roman"/>
          <w:b/>
        </w:rPr>
      </w:pPr>
      <w:r w:rsidRPr="00CF6070">
        <w:rPr>
          <w:rFonts w:ascii="Times New Roman" w:hAnsi="Times New Roman" w:cs="Times New Roman"/>
          <w:b/>
        </w:rPr>
        <w:lastRenderedPageBreak/>
        <w:t>Članak 5.</w:t>
      </w:r>
    </w:p>
    <w:p w14:paraId="4792B95A" w14:textId="2CFF0827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F6070">
        <w:rPr>
          <w:rFonts w:ascii="Times New Roman" w:hAnsi="Times New Roman" w:cs="Times New Roman"/>
        </w:rPr>
        <w:t>Sredstva iz Proračuna Općine Trnovec Bartolovečki za 202</w:t>
      </w:r>
      <w:r w:rsidR="007160A8"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 xml:space="preserve">. godinu za redovito godišnje financiranje političkih stranaka </w:t>
      </w:r>
      <w:r>
        <w:rPr>
          <w:rFonts w:ascii="Times New Roman" w:hAnsi="Times New Roman" w:cs="Times New Roman"/>
        </w:rPr>
        <w:t xml:space="preserve">i nezavisnih vijećnika </w:t>
      </w:r>
      <w:r w:rsidRPr="00CF6070">
        <w:rPr>
          <w:rFonts w:ascii="Times New Roman" w:hAnsi="Times New Roman" w:cs="Times New Roman"/>
        </w:rPr>
        <w:t>raspoređuju se</w:t>
      </w:r>
      <w:r>
        <w:rPr>
          <w:rFonts w:ascii="Times New Roman" w:hAnsi="Times New Roman" w:cs="Times New Roman"/>
        </w:rPr>
        <w:t xml:space="preserve"> kako slijedi</w:t>
      </w:r>
      <w:r w:rsidRPr="00CF6070">
        <w:rPr>
          <w:rFonts w:ascii="Times New Roman" w:hAnsi="Times New Roman" w:cs="Times New Roman"/>
        </w:rPr>
        <w:t>:</w:t>
      </w:r>
    </w:p>
    <w:p w14:paraId="62DD8CA8" w14:textId="77777777" w:rsidR="002F471E" w:rsidRPr="00CF6070" w:rsidRDefault="002F471E" w:rsidP="002F471E">
      <w:pPr>
        <w:pStyle w:val="Tijeloteksta"/>
        <w:spacing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471E" w:rsidRPr="00CF6070" w14:paraId="6B63F714" w14:textId="77777777" w:rsidTr="00D63EB9">
        <w:tc>
          <w:tcPr>
            <w:tcW w:w="3284" w:type="dxa"/>
          </w:tcPr>
          <w:p w14:paraId="6869F680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bCs w:val="0"/>
              </w:rPr>
            </w:pPr>
            <w:r w:rsidRPr="00CF6070">
              <w:rPr>
                <w:rFonts w:ascii="Times New Roman" w:hAnsi="Times New Roman" w:cs="Times New Roman"/>
                <w:b/>
                <w:bCs w:val="0"/>
              </w:rPr>
              <w:t>Naziv političke stranke</w:t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/ nezavisnog vijećnik grupe birača</w:t>
            </w:r>
          </w:p>
        </w:tc>
        <w:tc>
          <w:tcPr>
            <w:tcW w:w="3285" w:type="dxa"/>
          </w:tcPr>
          <w:p w14:paraId="442274CD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 w:rsidRPr="00CF6070">
              <w:rPr>
                <w:rFonts w:ascii="Times New Roman" w:hAnsi="Times New Roman" w:cs="Times New Roman"/>
                <w:b/>
              </w:rPr>
              <w:t xml:space="preserve">Broj vijećnika/vijećnica      </w:t>
            </w:r>
          </w:p>
        </w:tc>
        <w:tc>
          <w:tcPr>
            <w:tcW w:w="3285" w:type="dxa"/>
          </w:tcPr>
          <w:p w14:paraId="78E7B050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  <w:b/>
                <w:bCs w:val="0"/>
              </w:rPr>
            </w:pPr>
            <w:r w:rsidRPr="00CF6070">
              <w:rPr>
                <w:rFonts w:ascii="Times New Roman" w:hAnsi="Times New Roman" w:cs="Times New Roman"/>
                <w:b/>
                <w:bCs w:val="0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 w:val="0"/>
              </w:rPr>
              <w:t>eurima</w:t>
            </w:r>
            <w:r w:rsidRPr="00CF6070">
              <w:rPr>
                <w:rFonts w:ascii="Times New Roman" w:hAnsi="Times New Roman" w:cs="Times New Roman"/>
                <w:b/>
                <w:bCs w:val="0"/>
              </w:rPr>
              <w:t>/tromjesečno</w:t>
            </w:r>
          </w:p>
        </w:tc>
      </w:tr>
      <w:tr w:rsidR="002F471E" w:rsidRPr="00CF6070" w14:paraId="050F7EB9" w14:textId="77777777" w:rsidTr="00D63EB9">
        <w:tc>
          <w:tcPr>
            <w:tcW w:w="3284" w:type="dxa"/>
          </w:tcPr>
          <w:p w14:paraId="750AAA95" w14:textId="77777777" w:rsidR="002F471E" w:rsidRPr="00F65E2B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 w:rsidRPr="00F65E2B">
              <w:rPr>
                <w:rFonts w:ascii="Times New Roman" w:hAnsi="Times New Roman" w:cs="Times New Roman"/>
              </w:rPr>
              <w:t>Stjepan Mikulić</w:t>
            </w:r>
            <w:r>
              <w:rPr>
                <w:rFonts w:ascii="Times New Roman" w:hAnsi="Times New Roman" w:cs="Times New Roman"/>
              </w:rPr>
              <w:t xml:space="preserve"> – grupa birača Verica Vitković</w:t>
            </w:r>
          </w:p>
        </w:tc>
        <w:tc>
          <w:tcPr>
            <w:tcW w:w="3285" w:type="dxa"/>
          </w:tcPr>
          <w:p w14:paraId="353EFAC2" w14:textId="77777777" w:rsidR="002F471E" w:rsidRPr="00F65E2B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 w:rsidRPr="00F65E2B"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4C26BC38" w14:textId="1E0DC2A9" w:rsidR="002F471E" w:rsidRPr="00F65E2B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51DC509D" w14:textId="77777777" w:rsidTr="00D63EB9">
        <w:tc>
          <w:tcPr>
            <w:tcW w:w="3284" w:type="dxa"/>
          </w:tcPr>
          <w:p w14:paraId="3E7D3289" w14:textId="77777777" w:rsidR="002F471E" w:rsidRPr="00F65E2B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Radmila Sačić – grupa birača Verica Vitković</w:t>
            </w:r>
          </w:p>
        </w:tc>
        <w:tc>
          <w:tcPr>
            <w:tcW w:w="3285" w:type="dxa"/>
          </w:tcPr>
          <w:p w14:paraId="64087581" w14:textId="77777777" w:rsidR="002F471E" w:rsidRPr="00F65E2B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vijećnica</w:t>
            </w:r>
          </w:p>
        </w:tc>
        <w:tc>
          <w:tcPr>
            <w:tcW w:w="3285" w:type="dxa"/>
          </w:tcPr>
          <w:p w14:paraId="3390B77F" w14:textId="6BA65B3C" w:rsidR="002F471E" w:rsidRPr="00F65E2B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6539FCFD" w14:textId="77777777" w:rsidTr="00D63EB9">
        <w:tc>
          <w:tcPr>
            <w:tcW w:w="3284" w:type="dxa"/>
          </w:tcPr>
          <w:p w14:paraId="0C0D69D6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Anđelko Petek – grupa birača Verica Vitković</w:t>
            </w:r>
          </w:p>
        </w:tc>
        <w:tc>
          <w:tcPr>
            <w:tcW w:w="3285" w:type="dxa"/>
          </w:tcPr>
          <w:p w14:paraId="79A1DF33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51FCAB07" w14:textId="4A2A5CB0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43C1C840" w14:textId="77777777" w:rsidTr="00D63EB9">
        <w:tc>
          <w:tcPr>
            <w:tcW w:w="3284" w:type="dxa"/>
          </w:tcPr>
          <w:p w14:paraId="7CAB60C1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Davor Žmuk – grupa birača Verica Vitković</w:t>
            </w:r>
          </w:p>
        </w:tc>
        <w:tc>
          <w:tcPr>
            <w:tcW w:w="3285" w:type="dxa"/>
          </w:tcPr>
          <w:p w14:paraId="55ABCD10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3AE6CFE1" w14:textId="12E89D39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68EC5059" w14:textId="77777777" w:rsidTr="00D63EB9">
        <w:tc>
          <w:tcPr>
            <w:tcW w:w="3284" w:type="dxa"/>
          </w:tcPr>
          <w:p w14:paraId="7C2C0D19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Hohšteter – grupa birača Verica Vitković</w:t>
            </w:r>
          </w:p>
        </w:tc>
        <w:tc>
          <w:tcPr>
            <w:tcW w:w="3285" w:type="dxa"/>
          </w:tcPr>
          <w:p w14:paraId="40FF6DB8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22210C94" w14:textId="3294A463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06CCC76A" w14:textId="77777777" w:rsidTr="00D63EB9">
        <w:tc>
          <w:tcPr>
            <w:tcW w:w="3284" w:type="dxa"/>
          </w:tcPr>
          <w:p w14:paraId="4CD34437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 Magić – grupa birača Verica Vitković</w:t>
            </w:r>
          </w:p>
        </w:tc>
        <w:tc>
          <w:tcPr>
            <w:tcW w:w="3285" w:type="dxa"/>
          </w:tcPr>
          <w:p w14:paraId="5FECE2AC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vijećnica</w:t>
            </w:r>
          </w:p>
        </w:tc>
        <w:tc>
          <w:tcPr>
            <w:tcW w:w="3285" w:type="dxa"/>
          </w:tcPr>
          <w:p w14:paraId="1DC0C185" w14:textId="01C5B086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4F607EDD" w14:textId="77777777" w:rsidTr="00D63EB9">
        <w:tc>
          <w:tcPr>
            <w:tcW w:w="3284" w:type="dxa"/>
          </w:tcPr>
          <w:p w14:paraId="790AD48B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Zdravko </w:t>
            </w:r>
            <w:proofErr w:type="spellStart"/>
            <w:r>
              <w:rPr>
                <w:rFonts w:ascii="Times New Roman" w:hAnsi="Times New Roman" w:cs="Times New Roman"/>
              </w:rPr>
              <w:t>Hudler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grupa birača Verica Vitković</w:t>
            </w:r>
          </w:p>
        </w:tc>
        <w:tc>
          <w:tcPr>
            <w:tcW w:w="3285" w:type="dxa"/>
          </w:tcPr>
          <w:p w14:paraId="2F88CAB0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2DD494E2" w14:textId="1BEAFD20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511844D8" w14:textId="77777777" w:rsidTr="00D63EB9">
        <w:tc>
          <w:tcPr>
            <w:tcW w:w="3284" w:type="dxa"/>
          </w:tcPr>
          <w:p w14:paraId="43EFB92E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Sandro Špiranec – grupa birača Sandro Špiranec</w:t>
            </w:r>
          </w:p>
        </w:tc>
        <w:tc>
          <w:tcPr>
            <w:tcW w:w="3285" w:type="dxa"/>
          </w:tcPr>
          <w:p w14:paraId="5E9FEBD5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38272737" w14:textId="48D5249F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3E3C111C" w14:textId="77777777" w:rsidTr="00D63EB9">
        <w:tc>
          <w:tcPr>
            <w:tcW w:w="3284" w:type="dxa"/>
          </w:tcPr>
          <w:p w14:paraId="2B15E079" w14:textId="77777777" w:rsidR="002F471E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Zlatko Šantavec – grupa birača Sandro Špiranec</w:t>
            </w:r>
          </w:p>
        </w:tc>
        <w:tc>
          <w:tcPr>
            <w:tcW w:w="3285" w:type="dxa"/>
          </w:tcPr>
          <w:p w14:paraId="015138CF" w14:textId="77777777" w:rsidR="002F471E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 vijećnik</w:t>
            </w:r>
          </w:p>
        </w:tc>
        <w:tc>
          <w:tcPr>
            <w:tcW w:w="3285" w:type="dxa"/>
          </w:tcPr>
          <w:p w14:paraId="23FD0F2E" w14:textId="1BDB3812" w:rsidR="002F471E" w:rsidRDefault="007160A8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0,00</w:t>
            </w:r>
          </w:p>
        </w:tc>
      </w:tr>
      <w:tr w:rsidR="002F471E" w:rsidRPr="00CF6070" w14:paraId="12E1831C" w14:textId="77777777" w:rsidTr="00D63EB9">
        <w:tc>
          <w:tcPr>
            <w:tcW w:w="3284" w:type="dxa"/>
            <w:vMerge w:val="restart"/>
          </w:tcPr>
          <w:p w14:paraId="21692365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 w:rsidRPr="00CF6070">
              <w:rPr>
                <w:rFonts w:ascii="Times New Roman" w:hAnsi="Times New Roman" w:cs="Times New Roman"/>
              </w:rPr>
              <w:t>SOCIJALDEMOKRATSKA PARTIJA HRVATSKE – SDP</w:t>
            </w:r>
          </w:p>
        </w:tc>
        <w:tc>
          <w:tcPr>
            <w:tcW w:w="3285" w:type="dxa"/>
          </w:tcPr>
          <w:p w14:paraId="597FAF1C" w14:textId="77777777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6070">
              <w:rPr>
                <w:rFonts w:ascii="Times New Roman" w:hAnsi="Times New Roman" w:cs="Times New Roman"/>
              </w:rPr>
              <w:t xml:space="preserve"> vijećnik</w:t>
            </w:r>
          </w:p>
        </w:tc>
        <w:tc>
          <w:tcPr>
            <w:tcW w:w="3285" w:type="dxa"/>
          </w:tcPr>
          <w:p w14:paraId="126DA1B6" w14:textId="3C53E22E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160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,50</w:t>
            </w:r>
          </w:p>
        </w:tc>
      </w:tr>
      <w:tr w:rsidR="002F471E" w:rsidRPr="00CF6070" w14:paraId="7309C76A" w14:textId="77777777" w:rsidTr="00D63EB9">
        <w:tc>
          <w:tcPr>
            <w:tcW w:w="3284" w:type="dxa"/>
            <w:vMerge/>
          </w:tcPr>
          <w:p w14:paraId="706F814A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00BFF5F6" w14:textId="77777777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6070">
              <w:rPr>
                <w:rFonts w:ascii="Times New Roman" w:hAnsi="Times New Roman" w:cs="Times New Roman"/>
              </w:rPr>
              <w:t xml:space="preserve"> vijećnic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85" w:type="dxa"/>
          </w:tcPr>
          <w:p w14:paraId="5F4B9E6E" w14:textId="17E8DF42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36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D6368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F471E" w:rsidRPr="00CF6070" w14:paraId="6681450F" w14:textId="77777777" w:rsidTr="00D63EB9">
        <w:tc>
          <w:tcPr>
            <w:tcW w:w="3284" w:type="dxa"/>
          </w:tcPr>
          <w:p w14:paraId="59341090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 w:rsidRPr="00CF6070">
              <w:rPr>
                <w:rFonts w:ascii="Times New Roman" w:hAnsi="Times New Roman" w:cs="Times New Roman"/>
              </w:rPr>
              <w:t>HRVATSKA SELJAČKA STRANKA – HSS</w:t>
            </w:r>
          </w:p>
        </w:tc>
        <w:tc>
          <w:tcPr>
            <w:tcW w:w="3285" w:type="dxa"/>
          </w:tcPr>
          <w:p w14:paraId="3D6C433F" w14:textId="77777777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6070">
              <w:rPr>
                <w:rFonts w:ascii="Times New Roman" w:hAnsi="Times New Roman" w:cs="Times New Roman"/>
              </w:rPr>
              <w:t>1 vijećnik</w:t>
            </w:r>
          </w:p>
        </w:tc>
        <w:tc>
          <w:tcPr>
            <w:tcW w:w="3285" w:type="dxa"/>
          </w:tcPr>
          <w:p w14:paraId="7D5CA70B" w14:textId="5F28F1F8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36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,50</w:t>
            </w:r>
          </w:p>
        </w:tc>
      </w:tr>
      <w:tr w:rsidR="002F471E" w:rsidRPr="00CF6070" w14:paraId="30F724C3" w14:textId="77777777" w:rsidTr="00D63EB9">
        <w:tc>
          <w:tcPr>
            <w:tcW w:w="3284" w:type="dxa"/>
          </w:tcPr>
          <w:p w14:paraId="0843383B" w14:textId="77777777" w:rsidR="002F471E" w:rsidRPr="00CF6070" w:rsidRDefault="002F471E" w:rsidP="00D63EB9">
            <w:pPr>
              <w:pStyle w:val="Tijeloteksta"/>
              <w:spacing w:line="240" w:lineRule="auto"/>
              <w:rPr>
                <w:rFonts w:ascii="Times New Roman" w:hAnsi="Times New Roman" w:cs="Times New Roman"/>
              </w:rPr>
            </w:pPr>
            <w:r w:rsidRPr="00CF6070">
              <w:rPr>
                <w:rFonts w:ascii="Times New Roman" w:hAnsi="Times New Roman" w:cs="Times New Roman"/>
              </w:rPr>
              <w:t>HRVATSKA DEMOKRATSKA ZAJEDNICA –HDZ</w:t>
            </w:r>
          </w:p>
        </w:tc>
        <w:tc>
          <w:tcPr>
            <w:tcW w:w="3285" w:type="dxa"/>
          </w:tcPr>
          <w:p w14:paraId="15D0D281" w14:textId="77777777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6070">
              <w:rPr>
                <w:rFonts w:ascii="Times New Roman" w:hAnsi="Times New Roman" w:cs="Times New Roman"/>
              </w:rPr>
              <w:t xml:space="preserve"> vijećnik</w:t>
            </w:r>
          </w:p>
        </w:tc>
        <w:tc>
          <w:tcPr>
            <w:tcW w:w="3285" w:type="dxa"/>
          </w:tcPr>
          <w:p w14:paraId="072852A4" w14:textId="295E6CCF" w:rsidR="002F471E" w:rsidRPr="00CF6070" w:rsidRDefault="002F471E" w:rsidP="00D63EB9">
            <w:pPr>
              <w:pStyle w:val="Tijelotekst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36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,50</w:t>
            </w:r>
          </w:p>
        </w:tc>
      </w:tr>
    </w:tbl>
    <w:p w14:paraId="144A15C0" w14:textId="77777777" w:rsidR="002F471E" w:rsidRPr="00CF6070" w:rsidRDefault="002F471E" w:rsidP="002F471E">
      <w:pPr>
        <w:rPr>
          <w:bCs/>
          <w:sz w:val="22"/>
          <w:szCs w:val="22"/>
        </w:rPr>
      </w:pPr>
    </w:p>
    <w:p w14:paraId="7931101B" w14:textId="77777777" w:rsidR="002F471E" w:rsidRPr="00CF6070" w:rsidRDefault="002F471E" w:rsidP="002F471E">
      <w:pPr>
        <w:pStyle w:val="Tijeloteksta"/>
        <w:spacing w:line="240" w:lineRule="auto"/>
        <w:jc w:val="center"/>
        <w:rPr>
          <w:rFonts w:ascii="Times New Roman" w:hAnsi="Times New Roman" w:cs="Times New Roman"/>
          <w:b/>
        </w:rPr>
      </w:pPr>
      <w:r w:rsidRPr="00CF6070">
        <w:rPr>
          <w:rFonts w:ascii="Times New Roman" w:hAnsi="Times New Roman" w:cs="Times New Roman"/>
          <w:b/>
        </w:rPr>
        <w:t>Članak 6.</w:t>
      </w:r>
    </w:p>
    <w:p w14:paraId="6A43E633" w14:textId="05BC4DFC" w:rsidR="002F471E" w:rsidRDefault="002F471E" w:rsidP="002F471E">
      <w:pPr>
        <w:pStyle w:val="Tijeloteksta"/>
        <w:spacing w:line="240" w:lineRule="auto"/>
        <w:ind w:firstLine="720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>Raspoređena sredstva u visini utvrđenoj člankom 5. ove Odluke Jedinstveni upravni odjel Općine doznačuje na središnji račun  političke stranke</w:t>
      </w:r>
      <w:r>
        <w:rPr>
          <w:rFonts w:ascii="Times New Roman" w:hAnsi="Times New Roman" w:cs="Times New Roman"/>
        </w:rPr>
        <w:t>,</w:t>
      </w:r>
      <w:r w:rsidRPr="00CF6070">
        <w:rPr>
          <w:rFonts w:ascii="Times New Roman" w:hAnsi="Times New Roman" w:cs="Times New Roman"/>
        </w:rPr>
        <w:t xml:space="preserve"> tromjesečno u jednakim iznosima, a ako se početak ili završetak mandata ne poklapaju s početkom ili završetkom tromjesečja, u tom se tromjesečju isplaćuje iznos razmjeran broju dana trajanja mandata.</w:t>
      </w:r>
    </w:p>
    <w:p w14:paraId="2932A33B" w14:textId="77777777" w:rsidR="002F471E" w:rsidRPr="00CF6070" w:rsidRDefault="002F471E" w:rsidP="002F471E">
      <w:pPr>
        <w:pStyle w:val="Tijeloteksta"/>
        <w:spacing w:line="240" w:lineRule="auto"/>
        <w:ind w:firstLine="720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>Zadužuje se Jedinstveni upravni odjel da ovu Odluku dostavi Državnom izbornom povjerenstvu najkasnije u roku 15 dana od dana stupanja na snagu Odluke, sukladno stavku 4. članka 10. Zakona o financiranju političkih aktivnosti i izborne promidžbe i referenduma («Narodne novine» broj  29/19. i 98/19.).</w:t>
      </w:r>
    </w:p>
    <w:p w14:paraId="16ACE521" w14:textId="7492F2C5" w:rsidR="002F471E" w:rsidRDefault="002F471E" w:rsidP="002F471E">
      <w:pPr>
        <w:pStyle w:val="Tijeloteksta"/>
        <w:spacing w:line="240" w:lineRule="auto"/>
        <w:ind w:firstLine="720"/>
        <w:rPr>
          <w:rFonts w:ascii="Times New Roman" w:hAnsi="Times New Roman" w:cs="Times New Roman"/>
        </w:rPr>
      </w:pPr>
      <w:r w:rsidRPr="00CF6070">
        <w:rPr>
          <w:rFonts w:ascii="Times New Roman" w:hAnsi="Times New Roman" w:cs="Times New Roman"/>
        </w:rPr>
        <w:t xml:space="preserve">Zadužuje se Jedinstveni upravni odjel da objavi na </w:t>
      </w:r>
      <w:r>
        <w:rPr>
          <w:rFonts w:ascii="Times New Roman" w:hAnsi="Times New Roman" w:cs="Times New Roman"/>
        </w:rPr>
        <w:t>mrežnoj</w:t>
      </w:r>
      <w:r w:rsidRPr="00CF6070">
        <w:rPr>
          <w:rFonts w:ascii="Times New Roman" w:hAnsi="Times New Roman" w:cs="Times New Roman"/>
        </w:rPr>
        <w:t xml:space="preserve"> stranici Općine Trnovec Bartolovečki izvješće o iznosu raspoređenih i isplaćenih sredstava iz proračuna Općine u 202</w:t>
      </w:r>
      <w:r w:rsidR="00D63684">
        <w:rPr>
          <w:rFonts w:ascii="Times New Roman" w:hAnsi="Times New Roman" w:cs="Times New Roman"/>
        </w:rPr>
        <w:t>6</w:t>
      </w:r>
      <w:r w:rsidRPr="00CF6070">
        <w:rPr>
          <w:rFonts w:ascii="Times New Roman" w:hAnsi="Times New Roman" w:cs="Times New Roman"/>
        </w:rPr>
        <w:t>. godini za redovito godišnje financiranje svake političke stranke zastupljene u Općinskom vijeću Općine Trnovec Bartolovečki</w:t>
      </w:r>
      <w:r>
        <w:rPr>
          <w:rFonts w:ascii="Times New Roman" w:hAnsi="Times New Roman" w:cs="Times New Roman"/>
        </w:rPr>
        <w:t xml:space="preserve"> kao i nezavisnog vijećnika</w:t>
      </w:r>
      <w:r w:rsidRPr="00CF6070">
        <w:rPr>
          <w:rFonts w:ascii="Times New Roman" w:hAnsi="Times New Roman" w:cs="Times New Roman"/>
        </w:rPr>
        <w:t>, a sukladno stavku 4. članka 11. Zakona o financiranju političkih aktivnosti i izborne promidžbe i referenduma («Narodne novine» broj 29/19. i 98/19.).</w:t>
      </w:r>
    </w:p>
    <w:p w14:paraId="5A4EDB5A" w14:textId="77777777" w:rsidR="002F471E" w:rsidRPr="00CF6070" w:rsidRDefault="002F471E" w:rsidP="002F471E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1E41E40A" w14:textId="58652CC4" w:rsidR="002F471E" w:rsidRPr="00CF6070" w:rsidRDefault="002F471E" w:rsidP="002F471E">
      <w:pPr>
        <w:pStyle w:val="Tijeloteksta"/>
        <w:tabs>
          <w:tab w:val="left" w:pos="8505"/>
        </w:tabs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F6070">
        <w:rPr>
          <w:rFonts w:ascii="Times New Roman" w:hAnsi="Times New Roman" w:cs="Times New Roman"/>
          <w:b/>
          <w:color w:val="000000"/>
        </w:rPr>
        <w:t xml:space="preserve">Članak </w:t>
      </w:r>
      <w:r w:rsidR="00D63684">
        <w:rPr>
          <w:rFonts w:ascii="Times New Roman" w:hAnsi="Times New Roman" w:cs="Times New Roman"/>
          <w:b/>
          <w:color w:val="000000"/>
        </w:rPr>
        <w:t>7</w:t>
      </w:r>
      <w:r w:rsidRPr="00CF6070">
        <w:rPr>
          <w:rFonts w:ascii="Times New Roman" w:hAnsi="Times New Roman" w:cs="Times New Roman"/>
          <w:b/>
          <w:color w:val="000000"/>
        </w:rPr>
        <w:t>.</w:t>
      </w:r>
    </w:p>
    <w:p w14:paraId="60D60D07" w14:textId="77777777" w:rsidR="002F471E" w:rsidRPr="00CF6070" w:rsidRDefault="002F471E" w:rsidP="002F471E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</w:rPr>
      </w:pPr>
      <w:r w:rsidRPr="00CF6070">
        <w:rPr>
          <w:rFonts w:ascii="Times New Roman" w:hAnsi="Times New Roman" w:cs="Times New Roman"/>
          <w:color w:val="000000"/>
        </w:rPr>
        <w:t xml:space="preserve">              Ova Odluka stupa na </w:t>
      </w:r>
      <w:r>
        <w:rPr>
          <w:rFonts w:ascii="Times New Roman" w:hAnsi="Times New Roman" w:cs="Times New Roman"/>
          <w:color w:val="000000"/>
        </w:rPr>
        <w:t xml:space="preserve">snagu osmog dana od dana </w:t>
      </w:r>
      <w:r w:rsidRPr="00CF6070">
        <w:rPr>
          <w:rFonts w:ascii="Times New Roman" w:hAnsi="Times New Roman" w:cs="Times New Roman"/>
          <w:color w:val="000000"/>
        </w:rPr>
        <w:t xml:space="preserve"> objave  u  „Službenom vjesniku Varaždinske županije“.</w:t>
      </w:r>
    </w:p>
    <w:p w14:paraId="2AD1DA4C" w14:textId="77777777" w:rsidR="00361191" w:rsidRDefault="00361191" w:rsidP="00361191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2F717D24" w14:textId="77777777" w:rsidR="002F471E" w:rsidRPr="00CF6070" w:rsidRDefault="002F471E" w:rsidP="00361191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1B8DF43B" w14:textId="3B159A68" w:rsidR="00A2623C" w:rsidRPr="002F471E" w:rsidRDefault="002F471E" w:rsidP="002F471E">
      <w:pPr>
        <w:ind w:left="4956" w:firstLine="708"/>
        <w:rPr>
          <w:b/>
          <w:bCs/>
          <w:sz w:val="22"/>
          <w:szCs w:val="22"/>
        </w:rPr>
      </w:pPr>
      <w:r w:rsidRPr="002F471E">
        <w:rPr>
          <w:b/>
          <w:bCs/>
          <w:sz w:val="22"/>
          <w:szCs w:val="22"/>
        </w:rPr>
        <w:t>PREDSJEDNIK OPĆINSKOG VIJEĆA</w:t>
      </w:r>
    </w:p>
    <w:p w14:paraId="68BAAC85" w14:textId="7709D2B0" w:rsidR="002F471E" w:rsidRPr="002F471E" w:rsidRDefault="002F471E" w:rsidP="002F471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2F471E">
        <w:rPr>
          <w:sz w:val="22"/>
          <w:szCs w:val="22"/>
        </w:rPr>
        <w:t>Stjepan Mikulić</w:t>
      </w:r>
    </w:p>
    <w:sectPr w:rsidR="002F471E" w:rsidRPr="002F471E" w:rsidSect="009D6A5C">
      <w:type w:val="continuous"/>
      <w:pgSz w:w="11906" w:h="16838" w:code="9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1"/>
    <w:rsid w:val="000570D0"/>
    <w:rsid w:val="000722C0"/>
    <w:rsid w:val="001B3311"/>
    <w:rsid w:val="001D2295"/>
    <w:rsid w:val="002309A2"/>
    <w:rsid w:val="00245555"/>
    <w:rsid w:val="002F471E"/>
    <w:rsid w:val="003529A3"/>
    <w:rsid w:val="00361191"/>
    <w:rsid w:val="00376829"/>
    <w:rsid w:val="003B7553"/>
    <w:rsid w:val="003D6A0F"/>
    <w:rsid w:val="004C468A"/>
    <w:rsid w:val="005340C6"/>
    <w:rsid w:val="0059438B"/>
    <w:rsid w:val="005E0940"/>
    <w:rsid w:val="0064779B"/>
    <w:rsid w:val="007069F5"/>
    <w:rsid w:val="007160A8"/>
    <w:rsid w:val="0074766E"/>
    <w:rsid w:val="00791EAE"/>
    <w:rsid w:val="007A41C0"/>
    <w:rsid w:val="00807DCF"/>
    <w:rsid w:val="008D395E"/>
    <w:rsid w:val="009137D8"/>
    <w:rsid w:val="009627E7"/>
    <w:rsid w:val="0096337D"/>
    <w:rsid w:val="0096664C"/>
    <w:rsid w:val="009D6A5C"/>
    <w:rsid w:val="009E61F7"/>
    <w:rsid w:val="00A2623C"/>
    <w:rsid w:val="00A72352"/>
    <w:rsid w:val="00B67DE5"/>
    <w:rsid w:val="00BC0EBC"/>
    <w:rsid w:val="00BC7ACA"/>
    <w:rsid w:val="00C71619"/>
    <w:rsid w:val="00CF6070"/>
    <w:rsid w:val="00D26F81"/>
    <w:rsid w:val="00D63684"/>
    <w:rsid w:val="00D84A62"/>
    <w:rsid w:val="00DE5EE4"/>
    <w:rsid w:val="00E102C2"/>
    <w:rsid w:val="00F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EDB8"/>
  <w15:chartTrackingRefBased/>
  <w15:docId w15:val="{E262B338-6EE1-478E-AFCC-732CAE8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361191"/>
    <w:rPr>
      <w:bCs/>
      <w:lang w:val="en-AU" w:eastAsia="x-none"/>
    </w:rPr>
  </w:style>
  <w:style w:type="paragraph" w:styleId="Tijeloteksta">
    <w:name w:val="Body Text"/>
    <w:aliases w:val="uvlaka 3"/>
    <w:basedOn w:val="Normal"/>
    <w:link w:val="TijelotekstaChar"/>
    <w:unhideWhenUsed/>
    <w:rsid w:val="00361191"/>
    <w:pPr>
      <w:spacing w:line="360" w:lineRule="auto"/>
      <w:jc w:val="both"/>
    </w:pPr>
    <w:rPr>
      <w:rFonts w:asciiTheme="minorHAnsi" w:eastAsiaTheme="minorHAnsi" w:hAnsiTheme="minorHAnsi" w:cstheme="minorBidi"/>
      <w:bCs/>
      <w:sz w:val="22"/>
      <w:szCs w:val="22"/>
      <w:lang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36119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361191"/>
    <w:rPr>
      <w:lang w:val="en-AU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36119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6119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Istaknuto">
    <w:name w:val="Emphasis"/>
    <w:basedOn w:val="Zadanifontodlomka"/>
    <w:qFormat/>
    <w:rsid w:val="00361191"/>
    <w:rPr>
      <w:i/>
      <w:iCs/>
    </w:rPr>
  </w:style>
  <w:style w:type="table" w:styleId="Reetkatablice">
    <w:name w:val="Table Grid"/>
    <w:basedOn w:val="Obinatablica"/>
    <w:uiPriority w:val="39"/>
    <w:rsid w:val="00D8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9</cp:revision>
  <cp:lastPrinted>2022-03-25T08:44:00Z</cp:lastPrinted>
  <dcterms:created xsi:type="dcterms:W3CDTF">2024-02-05T08:36:00Z</dcterms:created>
  <dcterms:modified xsi:type="dcterms:W3CDTF">2026-03-12T12:43:00Z</dcterms:modified>
</cp:coreProperties>
</file>